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97E44" w14:textId="301CB587" w:rsidR="00F62B35" w:rsidRDefault="00474E3C" w:rsidP="00474E3C">
      <w:pPr>
        <w:pStyle w:val="Corpsdetexte"/>
        <w:ind w:left="116"/>
        <w:rPr>
          <w:rFonts w:ascii="Times New Roman" w:hAnsi="Times New Roman"/>
          <w:sz w:val="23"/>
        </w:rPr>
      </w:pPr>
      <w:r w:rsidRPr="00474E3C">
        <w:rPr>
          <w:rFonts w:ascii="Times New Roman" w:hAnsi="Times New Roman"/>
          <w:noProof/>
          <w:sz w:val="20"/>
          <w:lang w:val="fr-FR" w:eastAsia="fr-FR"/>
        </w:rPr>
        <w:drawing>
          <wp:anchor distT="0" distB="0" distL="114300" distR="114300" simplePos="0" relativeHeight="251661312" behindDoc="0" locked="0" layoutInCell="1" allowOverlap="1" wp14:anchorId="6CFCB527" wp14:editId="77CB1EE0">
            <wp:simplePos x="0" y="0"/>
            <wp:positionH relativeFrom="column">
              <wp:posOffset>72390</wp:posOffset>
            </wp:positionH>
            <wp:positionV relativeFrom="paragraph">
              <wp:posOffset>0</wp:posOffset>
            </wp:positionV>
            <wp:extent cx="1028700" cy="355600"/>
            <wp:effectExtent l="0" t="0" r="0" b="6350"/>
            <wp:wrapSquare wrapText="bothSides"/>
            <wp:docPr id="26" name="図 25">
              <a:extLst xmlns:a="http://schemas.openxmlformats.org/drawingml/2006/main">
                <a:ext uri="{FF2B5EF4-FFF2-40B4-BE49-F238E27FC236}">
                  <a16:creationId xmlns:a16="http://schemas.microsoft.com/office/drawing/2014/main" id="{0BC5E003-45B7-43B8-9A33-99D1C69482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図 25">
                      <a:extLst>
                        <a:ext uri="{FF2B5EF4-FFF2-40B4-BE49-F238E27FC236}">
                          <a16:creationId xmlns:a16="http://schemas.microsoft.com/office/drawing/2014/main" id="{0BC5E003-45B7-43B8-9A33-99D1C69482F6}"/>
                        </a:ext>
                      </a:extLst>
                    </pic:cNvPr>
                    <pic:cNvPicPr>
                      <a:picLocks noChangeAspect="1"/>
                    </pic:cNvPicPr>
                  </pic:nvPicPr>
                  <pic:blipFill>
                    <a:blip r:embed="rId11" cstate="email">
                      <a:extLst>
                        <a:ext uri="{28A0092B-C50C-407E-A947-70E740481C1C}">
                          <a14:useLocalDpi xmlns:a14="http://schemas.microsoft.com/office/drawing/2010/main" val="0"/>
                        </a:ext>
                      </a:extLst>
                    </a:blip>
                    <a:stretch>
                      <a:fillRect/>
                    </a:stretch>
                  </pic:blipFill>
                  <pic:spPr>
                    <a:xfrm>
                      <a:off x="0" y="0"/>
                      <a:ext cx="1028700" cy="355600"/>
                    </a:xfrm>
                    <a:prstGeom prst="rect">
                      <a:avLst/>
                    </a:prstGeom>
                  </pic:spPr>
                </pic:pic>
              </a:graphicData>
            </a:graphic>
            <wp14:sizeRelH relativeFrom="page">
              <wp14:pctWidth>0</wp14:pctWidth>
            </wp14:sizeRelH>
            <wp14:sizeRelV relativeFrom="page">
              <wp14:pctHeight>0</wp14:pctHeight>
            </wp14:sizeRelV>
          </wp:anchor>
        </w:drawing>
      </w:r>
      <w:r w:rsidRPr="00474E3C">
        <w:rPr>
          <w:rFonts w:ascii="Times New Roman" w:hAnsi="Times New Roman"/>
          <w:noProof/>
          <w:sz w:val="20"/>
          <w:lang w:val="fr-FR" w:eastAsia="fr-FR"/>
        </w:rPr>
        <w:drawing>
          <wp:anchor distT="0" distB="0" distL="114300" distR="114300" simplePos="0" relativeHeight="251660288" behindDoc="0" locked="0" layoutInCell="1" allowOverlap="1" wp14:anchorId="051C3FB0" wp14:editId="514A6822">
            <wp:simplePos x="0" y="0"/>
            <wp:positionH relativeFrom="margin">
              <wp:posOffset>4025265</wp:posOffset>
            </wp:positionH>
            <wp:positionV relativeFrom="paragraph">
              <wp:posOffset>6350</wp:posOffset>
            </wp:positionV>
            <wp:extent cx="1343025" cy="407035"/>
            <wp:effectExtent l="0" t="0" r="9525" b="0"/>
            <wp:wrapSquare wrapText="bothSides"/>
            <wp:docPr id="27" name="Picture 10" descr="National Agriculture and Food Research Organization">
              <a:extLst xmlns:a="http://schemas.openxmlformats.org/drawingml/2006/main">
                <a:ext uri="{FF2B5EF4-FFF2-40B4-BE49-F238E27FC236}">
                  <a16:creationId xmlns:a16="http://schemas.microsoft.com/office/drawing/2014/main" id="{D65B2DB6-E30B-499A-857B-B55C8F15E0B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10" descr="National Agriculture and Food Research Organization">
                      <a:extLst>
                        <a:ext uri="{FF2B5EF4-FFF2-40B4-BE49-F238E27FC236}">
                          <a16:creationId xmlns:a16="http://schemas.microsoft.com/office/drawing/2014/main" id="{D65B2DB6-E30B-499A-857B-B55C8F15E0B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43025" cy="407035"/>
                    </a:xfrm>
                    <a:prstGeom prst="rect">
                      <a:avLst/>
                    </a:prstGeom>
                    <a:noFill/>
                  </pic:spPr>
                </pic:pic>
              </a:graphicData>
            </a:graphic>
            <wp14:sizeRelH relativeFrom="page">
              <wp14:pctWidth>0</wp14:pctWidth>
            </wp14:sizeRelH>
            <wp14:sizeRelV relativeFrom="page">
              <wp14:pctHeight>0</wp14:pctHeight>
            </wp14:sizeRelV>
          </wp:anchor>
        </w:drawing>
      </w:r>
      <w:r w:rsidR="00D77062">
        <w:rPr>
          <w:rFonts w:ascii="Times New Roman" w:hAnsi="Times New Roman"/>
          <w:sz w:val="20"/>
        </w:rPr>
        <w:tab/>
      </w:r>
      <w:r w:rsidR="00D77062">
        <w:rPr>
          <w:rFonts w:ascii="Times New Roman" w:hAnsi="Times New Roman"/>
          <w:sz w:val="20"/>
        </w:rPr>
        <w:tab/>
      </w:r>
      <w:r w:rsidR="00D77062">
        <w:rPr>
          <w:rFonts w:ascii="Times New Roman" w:hAnsi="Times New Roman"/>
          <w:sz w:val="20"/>
        </w:rPr>
        <w:tab/>
      </w:r>
      <w:r w:rsidR="00D77062">
        <w:rPr>
          <w:rFonts w:ascii="Times New Roman" w:hAnsi="Times New Roman"/>
          <w:sz w:val="20"/>
        </w:rPr>
        <w:tab/>
      </w:r>
    </w:p>
    <w:p w14:paraId="0525CF77" w14:textId="77777777" w:rsidR="00474E3C" w:rsidRDefault="00474E3C" w:rsidP="006546F2">
      <w:pPr>
        <w:spacing w:before="35"/>
        <w:jc w:val="center"/>
        <w:rPr>
          <w:b/>
          <w:sz w:val="32"/>
        </w:rPr>
      </w:pPr>
    </w:p>
    <w:p w14:paraId="6AC2CF83" w14:textId="6CFC7965" w:rsidR="00F62B35" w:rsidRDefault="00D77062" w:rsidP="006546F2">
      <w:pPr>
        <w:spacing w:before="35"/>
        <w:jc w:val="center"/>
        <w:rPr>
          <w:b/>
          <w:sz w:val="32"/>
        </w:rPr>
      </w:pPr>
      <w:r>
        <w:rPr>
          <w:b/>
          <w:sz w:val="32"/>
        </w:rPr>
        <w:t xml:space="preserve">Joint Linkage Call </w:t>
      </w:r>
      <w:r w:rsidR="00474E3C">
        <w:rPr>
          <w:b/>
          <w:sz w:val="32"/>
        </w:rPr>
        <w:t>202</w:t>
      </w:r>
      <w:r w:rsidR="00D145F1">
        <w:rPr>
          <w:rFonts w:eastAsiaTheme="minorEastAsia" w:cstheme="minorHAnsi"/>
          <w:b/>
          <w:sz w:val="32"/>
          <w:lang w:eastAsia="ja-JP"/>
        </w:rPr>
        <w:t>5</w:t>
      </w:r>
      <w:r w:rsidR="006546F2">
        <w:rPr>
          <w:b/>
          <w:sz w:val="32"/>
        </w:rPr>
        <w:t xml:space="preserve"> </w:t>
      </w:r>
      <w:r>
        <w:rPr>
          <w:b/>
          <w:sz w:val="32"/>
        </w:rPr>
        <w:t>between INRA</w:t>
      </w:r>
      <w:r w:rsidR="00000BD3">
        <w:rPr>
          <w:b/>
          <w:sz w:val="32"/>
        </w:rPr>
        <w:t>E</w:t>
      </w:r>
      <w:r>
        <w:rPr>
          <w:b/>
          <w:sz w:val="32"/>
        </w:rPr>
        <w:t xml:space="preserve"> and NARO</w:t>
      </w:r>
    </w:p>
    <w:p w14:paraId="4E9FD671" w14:textId="77777777" w:rsidR="00F62B35" w:rsidRDefault="00F62B35">
      <w:pPr>
        <w:pStyle w:val="Corpsdetexte"/>
        <w:spacing w:before="11"/>
        <w:rPr>
          <w:b/>
          <w:sz w:val="23"/>
        </w:rPr>
      </w:pPr>
    </w:p>
    <w:p w14:paraId="64F27E92" w14:textId="77777777" w:rsidR="00F62B35" w:rsidRDefault="00D77062">
      <w:pPr>
        <w:pStyle w:val="Titre1"/>
        <w:spacing w:line="293" w:lineRule="exact"/>
      </w:pPr>
      <w:r>
        <w:t>What are joint linkage calls?</w:t>
      </w:r>
    </w:p>
    <w:p w14:paraId="45EE98DB" w14:textId="5E5894C3" w:rsidR="00F62B35" w:rsidRDefault="00D77062">
      <w:pPr>
        <w:pStyle w:val="Corpsdetexte"/>
        <w:ind w:left="147" w:right="101"/>
        <w:jc w:val="both"/>
      </w:pPr>
      <w:r>
        <w:t>Joint</w:t>
      </w:r>
      <w:r>
        <w:rPr>
          <w:spacing w:val="-6"/>
        </w:rPr>
        <w:t xml:space="preserve"> </w:t>
      </w:r>
      <w:r>
        <w:t>linkage</w:t>
      </w:r>
      <w:r>
        <w:rPr>
          <w:spacing w:val="-9"/>
        </w:rPr>
        <w:t xml:space="preserve"> </w:t>
      </w:r>
      <w:r>
        <w:t>calls</w:t>
      </w:r>
      <w:r>
        <w:rPr>
          <w:spacing w:val="-9"/>
        </w:rPr>
        <w:t xml:space="preserve"> </w:t>
      </w:r>
      <w:r>
        <w:t>are</w:t>
      </w:r>
      <w:r>
        <w:rPr>
          <w:spacing w:val="-8"/>
        </w:rPr>
        <w:t xml:space="preserve"> </w:t>
      </w:r>
      <w:r>
        <w:t>designed</w:t>
      </w:r>
      <w:r>
        <w:rPr>
          <w:spacing w:val="-7"/>
        </w:rPr>
        <w:t xml:space="preserve"> </w:t>
      </w:r>
      <w:r>
        <w:t>to</w:t>
      </w:r>
      <w:r>
        <w:rPr>
          <w:spacing w:val="-5"/>
        </w:rPr>
        <w:t xml:space="preserve"> </w:t>
      </w:r>
      <w:r>
        <w:t>facilitate</w:t>
      </w:r>
      <w:r>
        <w:rPr>
          <w:spacing w:val="-11"/>
        </w:rPr>
        <w:t xml:space="preserve"> </w:t>
      </w:r>
      <w:r>
        <w:t>mobility</w:t>
      </w:r>
      <w:r>
        <w:rPr>
          <w:spacing w:val="-8"/>
        </w:rPr>
        <w:t xml:space="preserve"> </w:t>
      </w:r>
      <w:r>
        <w:t>of</w:t>
      </w:r>
      <w:r>
        <w:rPr>
          <w:spacing w:val="-11"/>
        </w:rPr>
        <w:t xml:space="preserve"> </w:t>
      </w:r>
      <w:r>
        <w:t>researchers</w:t>
      </w:r>
      <w:r>
        <w:rPr>
          <w:spacing w:val="-6"/>
        </w:rPr>
        <w:t xml:space="preserve"> </w:t>
      </w:r>
      <w:r>
        <w:t>between</w:t>
      </w:r>
      <w:r>
        <w:rPr>
          <w:spacing w:val="-10"/>
        </w:rPr>
        <w:t xml:space="preserve"> </w:t>
      </w:r>
      <w:r>
        <w:t>the</w:t>
      </w:r>
      <w:r>
        <w:rPr>
          <w:spacing w:val="-7"/>
        </w:rPr>
        <w:t xml:space="preserve"> </w:t>
      </w:r>
      <w:r w:rsidR="00CA17C3" w:rsidRPr="00CA17C3">
        <w:rPr>
          <w:spacing w:val="-7"/>
        </w:rPr>
        <w:t>French National Research Institute for Agriculture, Food &amp; Environment</w:t>
      </w:r>
      <w:r>
        <w:t xml:space="preserve"> (INRA</w:t>
      </w:r>
      <w:r w:rsidR="00CA17C3">
        <w:t>E</w:t>
      </w:r>
      <w:r>
        <w:t>) and National Agriculture and Food Research Organization, Japan (NARO). Joint linkage calls act as seed funding for bilateral research projects and, in a spirit of reciprocity, the calls also foster short-term exchanges of scientific staff (with emphasis on early-career</w:t>
      </w:r>
      <w:r>
        <w:rPr>
          <w:spacing w:val="-24"/>
        </w:rPr>
        <w:t xml:space="preserve"> </w:t>
      </w:r>
      <w:r>
        <w:t>researchers).</w:t>
      </w:r>
    </w:p>
    <w:p w14:paraId="6D6AE006" w14:textId="77777777" w:rsidR="00F62B35" w:rsidRDefault="00F62B35">
      <w:pPr>
        <w:pStyle w:val="Corpsdetexte"/>
      </w:pPr>
    </w:p>
    <w:p w14:paraId="3821378C" w14:textId="77777777" w:rsidR="00F62B35" w:rsidRDefault="00D77062">
      <w:pPr>
        <w:pStyle w:val="Corpsdetexte"/>
        <w:ind w:left="147" w:right="99"/>
        <w:jc w:val="both"/>
      </w:pPr>
      <w:r>
        <w:t>Joint linkage calls can have multiple associated benefits, including improved knowledge and functional understanding of the two organisations involved, as well as their national and international scientific policies. In addition, these bilateral research projects support several scientific outputs such as data sharing and synthesis, modelling</w:t>
      </w:r>
      <w:r>
        <w:rPr>
          <w:spacing w:val="-9"/>
        </w:rPr>
        <w:t xml:space="preserve"> </w:t>
      </w:r>
      <w:r>
        <w:t>activities,</w:t>
      </w:r>
      <w:r>
        <w:rPr>
          <w:spacing w:val="-10"/>
        </w:rPr>
        <w:t xml:space="preserve"> </w:t>
      </w:r>
      <w:r>
        <w:t>and</w:t>
      </w:r>
      <w:r>
        <w:rPr>
          <w:spacing w:val="-9"/>
        </w:rPr>
        <w:t xml:space="preserve"> </w:t>
      </w:r>
      <w:r>
        <w:t>the</w:t>
      </w:r>
      <w:r>
        <w:rPr>
          <w:spacing w:val="-9"/>
        </w:rPr>
        <w:t xml:space="preserve"> </w:t>
      </w:r>
      <w:r>
        <w:t>development</w:t>
      </w:r>
      <w:r>
        <w:rPr>
          <w:spacing w:val="-8"/>
        </w:rPr>
        <w:t xml:space="preserve"> </w:t>
      </w:r>
      <w:r>
        <w:t>of</w:t>
      </w:r>
      <w:r>
        <w:rPr>
          <w:spacing w:val="-11"/>
        </w:rPr>
        <w:t xml:space="preserve"> </w:t>
      </w:r>
      <w:r>
        <w:t>novel</w:t>
      </w:r>
      <w:r>
        <w:rPr>
          <w:spacing w:val="-10"/>
        </w:rPr>
        <w:t xml:space="preserve"> </w:t>
      </w:r>
      <w:r>
        <w:t>methodologies</w:t>
      </w:r>
      <w:r>
        <w:rPr>
          <w:spacing w:val="-9"/>
        </w:rPr>
        <w:t xml:space="preserve"> </w:t>
      </w:r>
      <w:r>
        <w:t>and</w:t>
      </w:r>
      <w:r>
        <w:rPr>
          <w:spacing w:val="-9"/>
        </w:rPr>
        <w:t xml:space="preserve"> </w:t>
      </w:r>
      <w:r>
        <w:t>joint</w:t>
      </w:r>
      <w:r>
        <w:rPr>
          <w:spacing w:val="-8"/>
        </w:rPr>
        <w:t xml:space="preserve"> </w:t>
      </w:r>
      <w:r>
        <w:t>publications.</w:t>
      </w:r>
      <w:r>
        <w:rPr>
          <w:spacing w:val="-10"/>
        </w:rPr>
        <w:t xml:space="preserve"> </w:t>
      </w:r>
      <w:r>
        <w:t>These</w:t>
      </w:r>
      <w:r>
        <w:rPr>
          <w:spacing w:val="-9"/>
        </w:rPr>
        <w:t xml:space="preserve"> </w:t>
      </w:r>
      <w:r>
        <w:t>small</w:t>
      </w:r>
      <w:r>
        <w:rPr>
          <w:spacing w:val="-9"/>
        </w:rPr>
        <w:t xml:space="preserve"> </w:t>
      </w:r>
      <w:r>
        <w:t>projects</w:t>
      </w:r>
      <w:r>
        <w:rPr>
          <w:spacing w:val="-9"/>
        </w:rPr>
        <w:t xml:space="preserve"> </w:t>
      </w:r>
      <w:r>
        <w:t xml:space="preserve">can also lay the groundwork for larger collaborations </w:t>
      </w:r>
      <w:r w:rsidRPr="00B8396A">
        <w:t>by then applyin</w:t>
      </w:r>
      <w:r>
        <w:t>g conjointly for other funding</w:t>
      </w:r>
      <w:r>
        <w:rPr>
          <w:spacing w:val="-22"/>
        </w:rPr>
        <w:t xml:space="preserve"> </w:t>
      </w:r>
      <w:r>
        <w:t>sources.</w:t>
      </w:r>
    </w:p>
    <w:p w14:paraId="6D5CC8F4" w14:textId="77777777" w:rsidR="00F62B35" w:rsidRDefault="00F62B35">
      <w:pPr>
        <w:pStyle w:val="Corpsdetexte"/>
      </w:pPr>
    </w:p>
    <w:p w14:paraId="1B962357" w14:textId="77777777" w:rsidR="00F62B35" w:rsidRDefault="00D77062">
      <w:pPr>
        <w:pStyle w:val="Titre1"/>
        <w:spacing w:before="0"/>
      </w:pPr>
      <w:r>
        <w:t>How does it work?</w:t>
      </w:r>
    </w:p>
    <w:p w14:paraId="34023E17" w14:textId="77777777" w:rsidR="00763396" w:rsidRDefault="00763396">
      <w:pPr>
        <w:pStyle w:val="Corpsdetexte"/>
        <w:ind w:left="147" w:right="100"/>
        <w:jc w:val="both"/>
      </w:pPr>
      <w:r w:rsidRPr="00763396">
        <w:t xml:space="preserve">In 2016, INRA and NARO signed a Memorandum of Understanding (MoU), followed by a Letter of Intention (LoI) in October 2018, which outlined a framework for collaboration through a joint linkage call. </w:t>
      </w:r>
    </w:p>
    <w:p w14:paraId="69D68D41" w14:textId="39E57D3C" w:rsidR="00F62B35" w:rsidRPr="00453636" w:rsidRDefault="00763396">
      <w:pPr>
        <w:pStyle w:val="Corpsdetexte"/>
        <w:ind w:left="147" w:right="100"/>
        <w:jc w:val="both"/>
        <w:rPr>
          <w:rFonts w:cstheme="minorHAnsi"/>
        </w:rPr>
      </w:pPr>
      <w:r w:rsidRPr="00763396">
        <w:t>In 2021, the MoU was renewed, incorporating the contents of the LoI directly into the updated agreement.</w:t>
      </w:r>
    </w:p>
    <w:p w14:paraId="66F5EFD8" w14:textId="77777777" w:rsidR="00F62B35" w:rsidRDefault="00F62B35">
      <w:pPr>
        <w:pStyle w:val="Corpsdetexte"/>
        <w:spacing w:before="1"/>
      </w:pPr>
    </w:p>
    <w:p w14:paraId="03FF2DA1" w14:textId="0A30088B" w:rsidR="00F62B35" w:rsidRDefault="00D77062">
      <w:pPr>
        <w:pStyle w:val="Corpsdetexte"/>
        <w:spacing w:before="1"/>
        <w:ind w:left="147" w:right="101"/>
        <w:jc w:val="both"/>
      </w:pPr>
      <w:r>
        <w:t>Topics</w:t>
      </w:r>
      <w:r>
        <w:rPr>
          <w:spacing w:val="-5"/>
        </w:rPr>
        <w:t xml:space="preserve"> </w:t>
      </w:r>
      <w:r>
        <w:t>of</w:t>
      </w:r>
      <w:r>
        <w:rPr>
          <w:spacing w:val="-6"/>
        </w:rPr>
        <w:t xml:space="preserve"> </w:t>
      </w:r>
      <w:r>
        <w:t>interest</w:t>
      </w:r>
      <w:r>
        <w:rPr>
          <w:spacing w:val="-5"/>
        </w:rPr>
        <w:t xml:space="preserve"> </w:t>
      </w:r>
      <w:r>
        <w:t>for</w:t>
      </w:r>
      <w:r>
        <w:rPr>
          <w:spacing w:val="-6"/>
        </w:rPr>
        <w:t xml:space="preserve"> </w:t>
      </w:r>
      <w:r>
        <w:t>both</w:t>
      </w:r>
      <w:r>
        <w:rPr>
          <w:spacing w:val="-6"/>
        </w:rPr>
        <w:t xml:space="preserve"> </w:t>
      </w:r>
      <w:r>
        <w:t>organisations</w:t>
      </w:r>
      <w:r>
        <w:rPr>
          <w:spacing w:val="-4"/>
        </w:rPr>
        <w:t xml:space="preserve"> </w:t>
      </w:r>
      <w:r>
        <w:t>are</w:t>
      </w:r>
      <w:r>
        <w:rPr>
          <w:spacing w:val="-5"/>
        </w:rPr>
        <w:t xml:space="preserve"> </w:t>
      </w:r>
      <w:r>
        <w:t>defined</w:t>
      </w:r>
      <w:r>
        <w:rPr>
          <w:spacing w:val="-5"/>
        </w:rPr>
        <w:t xml:space="preserve"> </w:t>
      </w:r>
      <w:r>
        <w:rPr>
          <w:spacing w:val="-6"/>
        </w:rPr>
        <w:t xml:space="preserve">in the </w:t>
      </w:r>
      <w:r w:rsidR="00114443">
        <w:rPr>
          <w:spacing w:val="-6"/>
        </w:rPr>
        <w:t xml:space="preserve">MoU </w:t>
      </w:r>
      <w:r>
        <w:t>and then outlined in the annual call for linkage research projects. The call for applications is launched in parallel by both partners and disseminated to their scientific staff. From the launch date, the active period lasts 12 months and includes an exchange of scientific staff from both partners (e.g. INRA</w:t>
      </w:r>
      <w:r w:rsidR="00C24C7B">
        <w:t>E</w:t>
      </w:r>
      <w:r>
        <w:t xml:space="preserve"> researchers going to the partner organisation, and the partner organisation’s researchers visiting</w:t>
      </w:r>
      <w:r>
        <w:rPr>
          <w:spacing w:val="-8"/>
        </w:rPr>
        <w:t xml:space="preserve"> </w:t>
      </w:r>
      <w:r>
        <w:t>INRA</w:t>
      </w:r>
      <w:r w:rsidR="00C24C7B">
        <w:t>E</w:t>
      </w:r>
      <w:r>
        <w:t>).</w:t>
      </w:r>
    </w:p>
    <w:p w14:paraId="6F862C23" w14:textId="77777777" w:rsidR="00F62B35" w:rsidRDefault="00F62B35">
      <w:pPr>
        <w:pStyle w:val="Corpsdetexte"/>
        <w:spacing w:before="1"/>
        <w:ind w:left="147" w:right="101"/>
        <w:jc w:val="both"/>
      </w:pPr>
    </w:p>
    <w:p w14:paraId="095832D4" w14:textId="747E3112" w:rsidR="00F62B35" w:rsidRPr="00510B60" w:rsidRDefault="00D77062" w:rsidP="004B1A4C">
      <w:pPr>
        <w:pStyle w:val="Corpsdetexte"/>
        <w:spacing w:before="1"/>
        <w:ind w:left="147" w:right="101"/>
        <w:jc w:val="both"/>
        <w:rPr>
          <w:rFonts w:asciiTheme="minorEastAsia" w:eastAsiaTheme="minorEastAsia" w:hAnsiTheme="minorEastAsia"/>
          <w:lang w:eastAsia="ja-JP"/>
        </w:rPr>
      </w:pPr>
      <w:r>
        <w:t xml:space="preserve">Topics of the JLC for </w:t>
      </w:r>
      <w:r w:rsidR="00000BD3">
        <w:t>20</w:t>
      </w:r>
      <w:r w:rsidR="00AD4B1F">
        <w:t>2</w:t>
      </w:r>
      <w:r w:rsidR="006C2749">
        <w:rPr>
          <w:rFonts w:eastAsiaTheme="minorEastAsia" w:cstheme="minorHAnsi"/>
          <w:lang w:eastAsia="ja-JP"/>
        </w:rPr>
        <w:t>5</w:t>
      </w:r>
      <w:r w:rsidR="00000BD3" w:rsidRPr="004B1A4C">
        <w:rPr>
          <w:rFonts w:cstheme="minorHAnsi"/>
        </w:rPr>
        <w:t xml:space="preserve"> </w:t>
      </w:r>
      <w:r>
        <w:t xml:space="preserve">are as </w:t>
      </w:r>
      <w:r w:rsidR="005F06AE">
        <w:t>follows:</w:t>
      </w:r>
    </w:p>
    <w:p w14:paraId="7270E5E0" w14:textId="0C2F2ED1" w:rsidR="006C2749" w:rsidRDefault="00D77062">
      <w:pPr>
        <w:pStyle w:val="Corpsdetexte"/>
        <w:spacing w:before="1"/>
        <w:ind w:left="147" w:right="101"/>
        <w:jc w:val="both"/>
      </w:pPr>
      <w:r w:rsidRPr="00A71424">
        <w:t>1)</w:t>
      </w:r>
      <w:r w:rsidRPr="00A71424">
        <w:tab/>
      </w:r>
      <w:r w:rsidR="006C2749" w:rsidRPr="006C2749">
        <w:rPr>
          <w:lang w:val="en-GB"/>
        </w:rPr>
        <w:t>Environmental Sciences</w:t>
      </w:r>
      <w:r w:rsidR="006C2749">
        <w:t xml:space="preserve"> </w:t>
      </w:r>
    </w:p>
    <w:p w14:paraId="7AA81EBD" w14:textId="6A880128" w:rsidR="006C2749" w:rsidRDefault="00D77062" w:rsidP="00060429">
      <w:pPr>
        <w:pStyle w:val="Corpsdetexte"/>
        <w:spacing w:before="1"/>
        <w:ind w:left="147" w:right="101"/>
        <w:jc w:val="both"/>
      </w:pPr>
      <w:r w:rsidRPr="00A71424">
        <w:t>2)</w:t>
      </w:r>
      <w:r w:rsidRPr="00A71424">
        <w:tab/>
      </w:r>
      <w:r w:rsidR="00E10953" w:rsidRPr="00E10953">
        <w:t>Agricultural and Food Sciences</w:t>
      </w:r>
    </w:p>
    <w:p w14:paraId="536269E7" w14:textId="582B17ED" w:rsidR="00F62B35" w:rsidRPr="00744BA4" w:rsidRDefault="00D77062">
      <w:pPr>
        <w:pStyle w:val="Corpsdetexte"/>
        <w:spacing w:before="1"/>
        <w:ind w:left="147" w:right="101"/>
        <w:jc w:val="both"/>
        <w:rPr>
          <w:lang w:val="en-GB"/>
        </w:rPr>
      </w:pPr>
      <w:r w:rsidRPr="006C2749">
        <w:rPr>
          <w:lang w:val="en-GB"/>
        </w:rPr>
        <w:t>3)</w:t>
      </w:r>
      <w:r w:rsidRPr="006C2749">
        <w:rPr>
          <w:lang w:val="en-GB"/>
        </w:rPr>
        <w:tab/>
      </w:r>
      <w:r w:rsidR="00DA0861">
        <w:rPr>
          <w:lang w:val="en-GB"/>
        </w:rPr>
        <w:t>Pl</w:t>
      </w:r>
      <w:r w:rsidRPr="00744BA4">
        <w:rPr>
          <w:lang w:val="en-GB"/>
        </w:rPr>
        <w:t xml:space="preserve">ant </w:t>
      </w:r>
      <w:r w:rsidR="00DA0861" w:rsidRPr="00744BA4">
        <w:rPr>
          <w:lang w:val="en-GB"/>
        </w:rPr>
        <w:t xml:space="preserve">and animal </w:t>
      </w:r>
      <w:r w:rsidRPr="00744BA4">
        <w:rPr>
          <w:lang w:val="en-GB"/>
        </w:rPr>
        <w:t>Sciences</w:t>
      </w:r>
    </w:p>
    <w:p w14:paraId="0185B20A" w14:textId="5186D0ED" w:rsidR="00F62B35" w:rsidRPr="00744BA4" w:rsidRDefault="00D77062">
      <w:pPr>
        <w:pStyle w:val="Corpsdetexte"/>
        <w:spacing w:before="1"/>
        <w:ind w:left="147" w:right="101"/>
        <w:jc w:val="both"/>
        <w:rPr>
          <w:lang w:val="en-GB"/>
        </w:rPr>
      </w:pPr>
      <w:r w:rsidRPr="00744BA4">
        <w:rPr>
          <w:lang w:val="en-GB"/>
        </w:rPr>
        <w:t>5)</w:t>
      </w:r>
      <w:r w:rsidRPr="00744BA4">
        <w:rPr>
          <w:lang w:val="en-GB"/>
        </w:rPr>
        <w:tab/>
        <w:t>Social Sciences</w:t>
      </w:r>
    </w:p>
    <w:p w14:paraId="010BEB6D" w14:textId="3C09E805" w:rsidR="00F62B35" w:rsidRPr="00A71424" w:rsidRDefault="00D77062">
      <w:pPr>
        <w:pStyle w:val="Corpsdetexte"/>
        <w:spacing w:before="1"/>
        <w:ind w:left="147" w:right="101"/>
        <w:jc w:val="both"/>
      </w:pPr>
      <w:r w:rsidRPr="00A71424">
        <w:t>6)</w:t>
      </w:r>
      <w:r w:rsidRPr="00A71424">
        <w:tab/>
        <w:t>Other areas determined through mutual consultations</w:t>
      </w:r>
    </w:p>
    <w:p w14:paraId="41535425" w14:textId="77777777" w:rsidR="00F62B35" w:rsidRPr="005F06AE" w:rsidRDefault="00F62B35">
      <w:pPr>
        <w:pStyle w:val="Corpsdetexte"/>
        <w:spacing w:before="1"/>
        <w:ind w:left="147" w:right="101"/>
        <w:jc w:val="both"/>
        <w:rPr>
          <w:highlight w:val="yellow"/>
        </w:rPr>
      </w:pPr>
    </w:p>
    <w:p w14:paraId="41745AD3" w14:textId="01CA9925" w:rsidR="00DA0861" w:rsidRPr="0053665B" w:rsidRDefault="00DA0861" w:rsidP="0053665B">
      <w:pPr>
        <w:pStyle w:val="Corpsdetexte"/>
        <w:ind w:right="101"/>
        <w:jc w:val="both"/>
      </w:pPr>
      <w:r w:rsidRPr="0053665B">
        <w:t>In the 2025 JLC, priority will be given to proposals focusing on "Environmental Science" and "Innovation in Fermented Food Science," with an emphasis on improving agricultural and food productivity while promoting global environmental conservation. Applicants must clearly explain how their research or activities align with these specific topics in their proposals. Additionally, we strongly encourage young scientists to apply and will prioritize their applications.</w:t>
      </w:r>
    </w:p>
    <w:p w14:paraId="343CDA7A" w14:textId="257C6CDD" w:rsidR="00F62B35" w:rsidRPr="007A633A" w:rsidRDefault="00D77062" w:rsidP="00510B60">
      <w:pPr>
        <w:pStyle w:val="Textebrut"/>
        <w:jc w:val="both"/>
        <w:rPr>
          <w:iCs/>
          <w:lang w:val="en-US"/>
        </w:rPr>
      </w:pPr>
      <w:r w:rsidRPr="007A633A">
        <w:rPr>
          <w:iCs/>
          <w:lang w:val="en-US"/>
        </w:rPr>
        <w:lastRenderedPageBreak/>
        <w:t>Applicants respond by submitting fully filled “Proposal for INRA</w:t>
      </w:r>
      <w:r w:rsidR="00000BD3" w:rsidRPr="007A633A">
        <w:rPr>
          <w:iCs/>
          <w:lang w:val="en-US"/>
        </w:rPr>
        <w:t>E</w:t>
      </w:r>
      <w:r w:rsidRPr="007A633A">
        <w:rPr>
          <w:iCs/>
          <w:lang w:val="en-US"/>
        </w:rPr>
        <w:t xml:space="preserve">-NARO Joint Linkage Call </w:t>
      </w:r>
      <w:r w:rsidR="00000BD3" w:rsidRPr="007A633A">
        <w:rPr>
          <w:iCs/>
          <w:lang w:val="en-US"/>
        </w:rPr>
        <w:t>20</w:t>
      </w:r>
      <w:r w:rsidR="00AD4B1F" w:rsidRPr="007A633A">
        <w:rPr>
          <w:iCs/>
          <w:lang w:val="en-US"/>
        </w:rPr>
        <w:t>2</w:t>
      </w:r>
      <w:r w:rsidR="006C2749" w:rsidRPr="007A633A">
        <w:rPr>
          <w:iCs/>
          <w:lang w:val="en-US"/>
        </w:rPr>
        <w:t>5</w:t>
      </w:r>
      <w:r w:rsidRPr="007A633A">
        <w:rPr>
          <w:iCs/>
          <w:lang w:val="en-US"/>
        </w:rPr>
        <w:t xml:space="preserve">” by </w:t>
      </w:r>
      <w:r w:rsidR="00022A57">
        <w:rPr>
          <w:iCs/>
          <w:lang w:val="en-US"/>
        </w:rPr>
        <w:t>22</w:t>
      </w:r>
      <w:r w:rsidR="00022A57" w:rsidRPr="00022A57">
        <w:rPr>
          <w:iCs/>
          <w:vertAlign w:val="superscript"/>
          <w:lang w:val="en-US"/>
        </w:rPr>
        <w:t>nd</w:t>
      </w:r>
      <w:r w:rsidR="00022A57">
        <w:rPr>
          <w:iCs/>
          <w:lang w:val="en-US"/>
        </w:rPr>
        <w:t xml:space="preserve"> March </w:t>
      </w:r>
      <w:bookmarkStart w:id="0" w:name="_GoBack"/>
      <w:bookmarkEnd w:id="0"/>
      <w:r w:rsidR="004B1A4C" w:rsidRPr="007A633A">
        <w:rPr>
          <w:iCs/>
          <w:lang w:val="en-US"/>
        </w:rPr>
        <w:t>202</w:t>
      </w:r>
      <w:r w:rsidR="006C2749" w:rsidRPr="007A633A">
        <w:rPr>
          <w:iCs/>
          <w:lang w:val="en-US"/>
        </w:rPr>
        <w:t>5</w:t>
      </w:r>
      <w:r w:rsidR="004B1A4C" w:rsidRPr="007A633A">
        <w:rPr>
          <w:iCs/>
          <w:lang w:val="en-US"/>
        </w:rPr>
        <w:t xml:space="preserve"> </w:t>
      </w:r>
      <w:r w:rsidRPr="007A633A">
        <w:rPr>
          <w:iCs/>
          <w:lang w:val="en-US"/>
        </w:rPr>
        <w:t>to the coordinators in each organisation. A joint selection committee, comprised of representatives from both partner organisations, will select the projects for funding based on the quality of the project.</w:t>
      </w:r>
    </w:p>
    <w:p w14:paraId="1D963C8F" w14:textId="77777777" w:rsidR="00F62B35" w:rsidRPr="00510B60" w:rsidRDefault="00F62B35" w:rsidP="00510B60">
      <w:pPr>
        <w:pStyle w:val="Textebrut"/>
        <w:jc w:val="both"/>
        <w:rPr>
          <w:iCs/>
          <w:lang w:val="en-US"/>
        </w:rPr>
      </w:pPr>
    </w:p>
    <w:p w14:paraId="529A5C6B" w14:textId="77777777" w:rsidR="00DA0861" w:rsidRDefault="00DA0861" w:rsidP="00DA0861">
      <w:pPr>
        <w:pStyle w:val="Corpsdetexte"/>
        <w:ind w:right="101"/>
        <w:jc w:val="both"/>
      </w:pPr>
      <w:r>
        <w:t>Each partner will exclusively fund the outgoing mobility of their own scientific staff, covering travel and accommodation expenses, as well as domestic transportation for the host scientist(s) to accompany their counterpart. Additionally, each partner will contribute 50% of the coordination costs if required. Both parties are expected to provide equal total financial support for the annual call.</w:t>
      </w:r>
    </w:p>
    <w:p w14:paraId="06D868CA" w14:textId="77777777" w:rsidR="00DA0861" w:rsidRDefault="00DA0861" w:rsidP="00DA0861">
      <w:pPr>
        <w:pStyle w:val="Corpsdetexte"/>
        <w:ind w:right="101"/>
        <w:jc w:val="both"/>
      </w:pPr>
    </w:p>
    <w:p w14:paraId="1E688B74" w14:textId="3738C0C9" w:rsidR="00AD4B1F" w:rsidRDefault="00DA0861" w:rsidP="00DA0861">
      <w:pPr>
        <w:pStyle w:val="Corpsdetexte"/>
        <w:ind w:right="101"/>
        <w:jc w:val="both"/>
      </w:pPr>
      <w:r>
        <w:t>The budget and research topics may be adjusted during the MoU period through mutual agreement. In exceptional cases where researchers are unable to travel, such as during a pandemic like COVID-19, the use of funds will follow each organization’s internal validation processes to ensure the success of the approved project.</w:t>
      </w:r>
    </w:p>
    <w:p w14:paraId="73F19A81" w14:textId="77777777" w:rsidR="00F62B35" w:rsidRDefault="00F62B35">
      <w:pPr>
        <w:pStyle w:val="Corpsdetexte"/>
        <w:spacing w:before="2"/>
      </w:pPr>
    </w:p>
    <w:p w14:paraId="16C13888" w14:textId="77777777" w:rsidR="00F62B35" w:rsidRDefault="00D77062">
      <w:pPr>
        <w:pStyle w:val="Titre1"/>
      </w:pPr>
      <w:r>
        <w:t>The general procedure is as follows:</w:t>
      </w:r>
    </w:p>
    <w:p w14:paraId="59513520" w14:textId="77777777" w:rsidR="00E10953" w:rsidRPr="00E10953" w:rsidRDefault="00E10953" w:rsidP="00E10953">
      <w:pPr>
        <w:spacing w:before="100" w:beforeAutospacing="1" w:after="100" w:afterAutospacing="1"/>
        <w:jc w:val="both"/>
        <w:rPr>
          <w:rFonts w:eastAsia="Times New Roman" w:cstheme="minorHAnsi"/>
          <w:szCs w:val="24"/>
          <w:lang w:val="en-GB" w:eastAsia="fr-FR"/>
        </w:rPr>
      </w:pPr>
      <w:r w:rsidRPr="00E10953">
        <w:rPr>
          <w:rFonts w:eastAsia="Times New Roman" w:cstheme="minorHAnsi"/>
          <w:szCs w:val="24"/>
          <w:lang w:val="en-GB" w:eastAsia="fr-FR"/>
        </w:rPr>
        <w:t>Here’s the revised and integrated version with the timeline:</w:t>
      </w:r>
    </w:p>
    <w:p w14:paraId="1B6FF753" w14:textId="50DC5C99" w:rsidR="00E10953" w:rsidRPr="00E10953" w:rsidRDefault="00E10953" w:rsidP="00E10953">
      <w:pPr>
        <w:numPr>
          <w:ilvl w:val="0"/>
          <w:numId w:val="3"/>
        </w:numPr>
        <w:spacing w:before="100" w:beforeAutospacing="1" w:after="100" w:afterAutospacing="1"/>
        <w:jc w:val="both"/>
        <w:rPr>
          <w:rFonts w:eastAsia="Times New Roman" w:cstheme="minorHAnsi"/>
          <w:szCs w:val="24"/>
          <w:lang w:val="en-GB" w:eastAsia="fr-FR"/>
        </w:rPr>
      </w:pPr>
      <w:r w:rsidRPr="00E10953">
        <w:rPr>
          <w:rFonts w:eastAsia="Times New Roman" w:cstheme="minorHAnsi"/>
          <w:szCs w:val="24"/>
          <w:lang w:val="en-GB" w:eastAsia="fr-FR"/>
        </w:rPr>
        <w:t xml:space="preserve">A call for proposals is issued annually at the same time and shared within both organizations, with a unified submission deadline of </w:t>
      </w:r>
      <w:r w:rsidR="00022A57">
        <w:rPr>
          <w:rFonts w:eastAsia="Times New Roman" w:cstheme="minorHAnsi"/>
          <w:b/>
          <w:bCs/>
          <w:szCs w:val="24"/>
          <w:lang w:val="en-GB" w:eastAsia="fr-FR"/>
        </w:rPr>
        <w:t>22</w:t>
      </w:r>
      <w:r w:rsidR="00022A57">
        <w:rPr>
          <w:rFonts w:eastAsia="Times New Roman" w:cstheme="minorHAnsi"/>
          <w:b/>
          <w:bCs/>
          <w:szCs w:val="24"/>
          <w:vertAlign w:val="superscript"/>
          <w:lang w:val="en-GB" w:eastAsia="fr-FR"/>
        </w:rPr>
        <w:t>nd</w:t>
      </w:r>
      <w:r w:rsidR="007A633A">
        <w:rPr>
          <w:rFonts w:eastAsia="Times New Roman" w:cstheme="minorHAnsi"/>
          <w:b/>
          <w:bCs/>
          <w:szCs w:val="24"/>
          <w:lang w:val="en-GB" w:eastAsia="fr-FR"/>
        </w:rPr>
        <w:t xml:space="preserve"> </w:t>
      </w:r>
      <w:r w:rsidR="00022A57">
        <w:rPr>
          <w:rFonts w:eastAsia="Times New Roman" w:cstheme="minorHAnsi"/>
          <w:b/>
          <w:bCs/>
          <w:szCs w:val="24"/>
          <w:lang w:val="en-GB" w:eastAsia="fr-FR"/>
        </w:rPr>
        <w:t>March</w:t>
      </w:r>
      <w:r w:rsidR="00744BA4">
        <w:rPr>
          <w:rFonts w:eastAsia="Times New Roman" w:cstheme="minorHAnsi"/>
          <w:b/>
          <w:bCs/>
          <w:szCs w:val="24"/>
          <w:lang w:val="en-GB" w:eastAsia="fr-FR"/>
        </w:rPr>
        <w:t xml:space="preserve"> 2025</w:t>
      </w:r>
      <w:r w:rsidRPr="00E10953">
        <w:rPr>
          <w:rFonts w:eastAsia="Times New Roman" w:cstheme="minorHAnsi"/>
          <w:szCs w:val="24"/>
          <w:lang w:val="en-GB" w:eastAsia="fr-FR"/>
        </w:rPr>
        <w:t>.</w:t>
      </w:r>
    </w:p>
    <w:p w14:paraId="316FF7CE" w14:textId="77777777" w:rsidR="00E10953" w:rsidRPr="00E10953" w:rsidRDefault="00E10953" w:rsidP="00E10953">
      <w:pPr>
        <w:numPr>
          <w:ilvl w:val="0"/>
          <w:numId w:val="3"/>
        </w:numPr>
        <w:spacing w:before="100" w:beforeAutospacing="1" w:after="100" w:afterAutospacing="1"/>
        <w:jc w:val="both"/>
        <w:rPr>
          <w:rFonts w:eastAsia="Times New Roman" w:cstheme="minorHAnsi"/>
          <w:szCs w:val="24"/>
          <w:lang w:val="en-GB" w:eastAsia="fr-FR"/>
        </w:rPr>
      </w:pPr>
      <w:r w:rsidRPr="00E10953">
        <w:rPr>
          <w:rFonts w:eastAsia="Times New Roman" w:cstheme="minorHAnsi"/>
          <w:szCs w:val="24"/>
          <w:lang w:val="en-GB" w:eastAsia="fr-FR"/>
        </w:rPr>
        <w:t>All submissions are compiled and exchanged, ensuring both organizations have an identical list of projects.</w:t>
      </w:r>
    </w:p>
    <w:p w14:paraId="2F826CB5" w14:textId="77777777" w:rsidR="00E10953" w:rsidRPr="00E10953" w:rsidRDefault="00E10953" w:rsidP="00E10953">
      <w:pPr>
        <w:numPr>
          <w:ilvl w:val="0"/>
          <w:numId w:val="3"/>
        </w:numPr>
        <w:spacing w:before="100" w:beforeAutospacing="1" w:after="100" w:afterAutospacing="1"/>
        <w:jc w:val="both"/>
        <w:rPr>
          <w:rFonts w:eastAsia="Times New Roman" w:cstheme="minorHAnsi"/>
          <w:szCs w:val="24"/>
          <w:lang w:val="en-GB" w:eastAsia="fr-FR"/>
        </w:rPr>
      </w:pPr>
      <w:r w:rsidRPr="00E10953">
        <w:rPr>
          <w:rFonts w:eastAsia="Times New Roman" w:cstheme="minorHAnsi"/>
          <w:szCs w:val="24"/>
          <w:lang w:val="en-GB" w:eastAsia="fr-FR"/>
        </w:rPr>
        <w:t>Each organization independently reviews and ranks the projects.</w:t>
      </w:r>
    </w:p>
    <w:p w14:paraId="3991318C" w14:textId="4E9ACF91" w:rsidR="00E10953" w:rsidRPr="00E10953" w:rsidRDefault="00E10953" w:rsidP="00E10953">
      <w:pPr>
        <w:numPr>
          <w:ilvl w:val="0"/>
          <w:numId w:val="3"/>
        </w:numPr>
        <w:spacing w:before="100" w:beforeAutospacing="1" w:after="100" w:afterAutospacing="1"/>
        <w:jc w:val="both"/>
        <w:rPr>
          <w:rFonts w:eastAsia="Times New Roman" w:cstheme="minorHAnsi"/>
          <w:szCs w:val="24"/>
          <w:lang w:val="en-GB" w:eastAsia="fr-FR"/>
        </w:rPr>
      </w:pPr>
      <w:r w:rsidRPr="00E10953">
        <w:rPr>
          <w:rFonts w:eastAsia="Times New Roman" w:cstheme="minorHAnsi"/>
          <w:szCs w:val="24"/>
          <w:lang w:val="en-GB" w:eastAsia="fr-FR"/>
        </w:rPr>
        <w:t xml:space="preserve">On </w:t>
      </w:r>
      <w:r w:rsidR="007A633A">
        <w:rPr>
          <w:rFonts w:eastAsia="Times New Roman" w:cstheme="minorHAnsi"/>
          <w:b/>
          <w:bCs/>
          <w:szCs w:val="24"/>
          <w:lang w:val="en-GB" w:eastAsia="fr-FR"/>
        </w:rPr>
        <w:t>24</w:t>
      </w:r>
      <w:r w:rsidRPr="00E10953">
        <w:rPr>
          <w:rFonts w:eastAsia="Times New Roman" w:cstheme="minorHAnsi"/>
          <w:b/>
          <w:bCs/>
          <w:szCs w:val="24"/>
          <w:lang w:val="en-GB" w:eastAsia="fr-FR"/>
        </w:rPr>
        <w:t>th April</w:t>
      </w:r>
      <w:r w:rsidRPr="00E10953">
        <w:rPr>
          <w:rFonts w:eastAsia="Times New Roman" w:cstheme="minorHAnsi"/>
          <w:szCs w:val="24"/>
          <w:lang w:val="en-GB" w:eastAsia="fr-FR"/>
        </w:rPr>
        <w:t>, a joint evaluation is conducted by a NARO-INRAE panel.</w:t>
      </w:r>
    </w:p>
    <w:p w14:paraId="1226A0E1" w14:textId="77777777" w:rsidR="00E10953" w:rsidRPr="00E10953" w:rsidRDefault="00E10953" w:rsidP="00E10953">
      <w:pPr>
        <w:numPr>
          <w:ilvl w:val="0"/>
          <w:numId w:val="3"/>
        </w:numPr>
        <w:spacing w:before="100" w:beforeAutospacing="1" w:after="100" w:afterAutospacing="1"/>
        <w:jc w:val="both"/>
        <w:rPr>
          <w:rFonts w:eastAsia="Times New Roman" w:cstheme="minorHAnsi"/>
          <w:szCs w:val="24"/>
          <w:lang w:val="en-GB" w:eastAsia="fr-FR"/>
        </w:rPr>
      </w:pPr>
      <w:r w:rsidRPr="00E10953">
        <w:rPr>
          <w:rFonts w:eastAsia="Times New Roman" w:cstheme="minorHAnsi"/>
          <w:szCs w:val="24"/>
          <w:lang w:val="en-GB" w:eastAsia="fr-FR"/>
        </w:rPr>
        <w:t>A joint selection committee, consisting of 1–3 members from each partner organization, deliberates initially via email and then finalizes decisions during a videoconference.</w:t>
      </w:r>
    </w:p>
    <w:p w14:paraId="6EF6831F" w14:textId="77777777" w:rsidR="00E10953" w:rsidRPr="00E10953" w:rsidRDefault="00E10953" w:rsidP="00E10953">
      <w:pPr>
        <w:numPr>
          <w:ilvl w:val="0"/>
          <w:numId w:val="3"/>
        </w:numPr>
        <w:spacing w:before="100" w:beforeAutospacing="1" w:after="100" w:afterAutospacing="1"/>
        <w:jc w:val="both"/>
        <w:rPr>
          <w:rFonts w:eastAsia="Times New Roman" w:cstheme="minorHAnsi"/>
          <w:szCs w:val="24"/>
          <w:lang w:val="en-GB" w:eastAsia="fr-FR"/>
        </w:rPr>
      </w:pPr>
      <w:r w:rsidRPr="00E10953">
        <w:rPr>
          <w:rFonts w:eastAsia="Times New Roman" w:cstheme="minorHAnsi"/>
          <w:szCs w:val="24"/>
          <w:lang w:val="en-GB" w:eastAsia="fr-FR"/>
        </w:rPr>
        <w:t xml:space="preserve">The final results are communicated on </w:t>
      </w:r>
      <w:r w:rsidRPr="00E10953">
        <w:rPr>
          <w:rFonts w:eastAsia="Times New Roman" w:cstheme="minorHAnsi"/>
          <w:b/>
          <w:bCs/>
          <w:szCs w:val="24"/>
          <w:lang w:val="en-GB" w:eastAsia="fr-FR"/>
        </w:rPr>
        <w:t>5th May</w:t>
      </w:r>
      <w:r w:rsidRPr="00E10953">
        <w:rPr>
          <w:rFonts w:eastAsia="Times New Roman" w:cstheme="minorHAnsi"/>
          <w:szCs w:val="24"/>
          <w:lang w:val="en-GB" w:eastAsia="fr-FR"/>
        </w:rPr>
        <w:t>.</w:t>
      </w:r>
    </w:p>
    <w:p w14:paraId="7AB3533E" w14:textId="611AB9A7" w:rsidR="00763396" w:rsidRPr="00E10953" w:rsidRDefault="00763396" w:rsidP="00E10953">
      <w:pPr>
        <w:pStyle w:val="Paragraphedeliste"/>
        <w:tabs>
          <w:tab w:val="left" w:pos="323"/>
        </w:tabs>
        <w:ind w:right="102"/>
        <w:rPr>
          <w:rFonts w:eastAsiaTheme="minorEastAsia" w:cstheme="minorHAnsi"/>
          <w:iCs/>
          <w:sz w:val="20"/>
          <w:szCs w:val="40"/>
          <w:lang w:eastAsia="ja-JP"/>
        </w:rPr>
      </w:pPr>
    </w:p>
    <w:sectPr w:rsidR="00763396" w:rsidRPr="00E10953">
      <w:pgSz w:w="11906" w:h="16838"/>
      <w:pgMar w:top="1985" w:right="1701" w:bottom="1701" w:left="1701" w:header="0" w:footer="0" w:gutter="0"/>
      <w:cols w:space="720"/>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DD771" w14:textId="77777777" w:rsidR="009F50F2" w:rsidRDefault="009F50F2" w:rsidP="00C356C2">
      <w:r>
        <w:separator/>
      </w:r>
    </w:p>
  </w:endnote>
  <w:endnote w:type="continuationSeparator" w:id="0">
    <w:p w14:paraId="7C745BA5" w14:textId="77777777" w:rsidR="009F50F2" w:rsidRDefault="009F50F2" w:rsidP="00C35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charset w:val="01"/>
    <w:family w:val="swiss"/>
    <w:pitch w:val="variable"/>
  </w:font>
  <w:font w:name="Noto Sans CJK SC Regular">
    <w:altName w:val="Cambria"/>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F14B7" w14:textId="77777777" w:rsidR="009F50F2" w:rsidRDefault="009F50F2" w:rsidP="00C356C2">
      <w:r>
        <w:separator/>
      </w:r>
    </w:p>
  </w:footnote>
  <w:footnote w:type="continuationSeparator" w:id="0">
    <w:p w14:paraId="4E32C106" w14:textId="77777777" w:rsidR="009F50F2" w:rsidRDefault="009F50F2" w:rsidP="00C356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F4C45"/>
    <w:multiLevelType w:val="multilevel"/>
    <w:tmpl w:val="5148C128"/>
    <w:lvl w:ilvl="0">
      <w:numFmt w:val="bullet"/>
      <w:lvlText w:val="-"/>
      <w:lvlJc w:val="left"/>
      <w:pPr>
        <w:ind w:left="147" w:hanging="176"/>
      </w:pPr>
      <w:rPr>
        <w:rFonts w:ascii="Calibri" w:hAnsi="Calibri" w:cs="Calibri" w:hint="default"/>
        <w:w w:val="100"/>
        <w:sz w:val="22"/>
        <w:szCs w:val="22"/>
      </w:rPr>
    </w:lvl>
    <w:lvl w:ilvl="1">
      <w:start w:val="1"/>
      <w:numFmt w:val="bullet"/>
      <w:lvlText w:val=""/>
      <w:lvlJc w:val="left"/>
      <w:pPr>
        <w:ind w:left="1160" w:hanging="176"/>
      </w:pPr>
      <w:rPr>
        <w:rFonts w:ascii="Symbol" w:hAnsi="Symbol" w:cs="Symbol" w:hint="default"/>
      </w:rPr>
    </w:lvl>
    <w:lvl w:ilvl="2">
      <w:start w:val="1"/>
      <w:numFmt w:val="bullet"/>
      <w:lvlText w:val=""/>
      <w:lvlJc w:val="left"/>
      <w:pPr>
        <w:ind w:left="2181" w:hanging="176"/>
      </w:pPr>
      <w:rPr>
        <w:rFonts w:ascii="Symbol" w:hAnsi="Symbol" w:cs="Symbol" w:hint="default"/>
      </w:rPr>
    </w:lvl>
    <w:lvl w:ilvl="3">
      <w:start w:val="1"/>
      <w:numFmt w:val="bullet"/>
      <w:lvlText w:val=""/>
      <w:lvlJc w:val="left"/>
      <w:pPr>
        <w:ind w:left="3201" w:hanging="176"/>
      </w:pPr>
      <w:rPr>
        <w:rFonts w:ascii="Symbol" w:hAnsi="Symbol" w:cs="Symbol" w:hint="default"/>
      </w:rPr>
    </w:lvl>
    <w:lvl w:ilvl="4">
      <w:start w:val="1"/>
      <w:numFmt w:val="bullet"/>
      <w:lvlText w:val=""/>
      <w:lvlJc w:val="left"/>
      <w:pPr>
        <w:ind w:left="4222" w:hanging="176"/>
      </w:pPr>
      <w:rPr>
        <w:rFonts w:ascii="Symbol" w:hAnsi="Symbol" w:cs="Symbol" w:hint="default"/>
      </w:rPr>
    </w:lvl>
    <w:lvl w:ilvl="5">
      <w:start w:val="1"/>
      <w:numFmt w:val="bullet"/>
      <w:lvlText w:val=""/>
      <w:lvlJc w:val="left"/>
      <w:pPr>
        <w:ind w:left="5243" w:hanging="176"/>
      </w:pPr>
      <w:rPr>
        <w:rFonts w:ascii="Symbol" w:hAnsi="Symbol" w:cs="Symbol" w:hint="default"/>
      </w:rPr>
    </w:lvl>
    <w:lvl w:ilvl="6">
      <w:start w:val="1"/>
      <w:numFmt w:val="bullet"/>
      <w:lvlText w:val=""/>
      <w:lvlJc w:val="left"/>
      <w:pPr>
        <w:ind w:left="6263" w:hanging="176"/>
      </w:pPr>
      <w:rPr>
        <w:rFonts w:ascii="Symbol" w:hAnsi="Symbol" w:cs="Symbol" w:hint="default"/>
      </w:rPr>
    </w:lvl>
    <w:lvl w:ilvl="7">
      <w:start w:val="1"/>
      <w:numFmt w:val="bullet"/>
      <w:lvlText w:val=""/>
      <w:lvlJc w:val="left"/>
      <w:pPr>
        <w:ind w:left="7284" w:hanging="176"/>
      </w:pPr>
      <w:rPr>
        <w:rFonts w:ascii="Symbol" w:hAnsi="Symbol" w:cs="Symbol" w:hint="default"/>
      </w:rPr>
    </w:lvl>
    <w:lvl w:ilvl="8">
      <w:start w:val="1"/>
      <w:numFmt w:val="bullet"/>
      <w:lvlText w:val=""/>
      <w:lvlJc w:val="left"/>
      <w:pPr>
        <w:ind w:left="8305" w:hanging="176"/>
      </w:pPr>
      <w:rPr>
        <w:rFonts w:ascii="Symbol" w:hAnsi="Symbol" w:cs="Symbol" w:hint="default"/>
      </w:rPr>
    </w:lvl>
  </w:abstractNum>
  <w:abstractNum w:abstractNumId="1" w15:restartNumberingAfterBreak="0">
    <w:nsid w:val="3EC54646"/>
    <w:multiLevelType w:val="multilevel"/>
    <w:tmpl w:val="4FC6D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EB6C36"/>
    <w:multiLevelType w:val="multilevel"/>
    <w:tmpl w:val="345638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B35"/>
    <w:rsid w:val="00000BD3"/>
    <w:rsid w:val="00022A57"/>
    <w:rsid w:val="0005070E"/>
    <w:rsid w:val="0005441A"/>
    <w:rsid w:val="00060429"/>
    <w:rsid w:val="00077AAB"/>
    <w:rsid w:val="00081709"/>
    <w:rsid w:val="000A0536"/>
    <w:rsid w:val="000C3693"/>
    <w:rsid w:val="000D4E88"/>
    <w:rsid w:val="000F0EFC"/>
    <w:rsid w:val="00114443"/>
    <w:rsid w:val="001157E8"/>
    <w:rsid w:val="001C2B6F"/>
    <w:rsid w:val="001F47DA"/>
    <w:rsid w:val="00243BAC"/>
    <w:rsid w:val="002D7BEC"/>
    <w:rsid w:val="002F41BC"/>
    <w:rsid w:val="00303C51"/>
    <w:rsid w:val="00312DCA"/>
    <w:rsid w:val="00411A7A"/>
    <w:rsid w:val="00453636"/>
    <w:rsid w:val="00474E3C"/>
    <w:rsid w:val="00480612"/>
    <w:rsid w:val="00491F2A"/>
    <w:rsid w:val="004A57DE"/>
    <w:rsid w:val="004A5EBB"/>
    <w:rsid w:val="004B1A4C"/>
    <w:rsid w:val="004C7D55"/>
    <w:rsid w:val="00510B60"/>
    <w:rsid w:val="00527857"/>
    <w:rsid w:val="00531E96"/>
    <w:rsid w:val="0053665B"/>
    <w:rsid w:val="005429D0"/>
    <w:rsid w:val="0057042D"/>
    <w:rsid w:val="005E1DD2"/>
    <w:rsid w:val="005F06AE"/>
    <w:rsid w:val="006327FB"/>
    <w:rsid w:val="00635C61"/>
    <w:rsid w:val="00650BEE"/>
    <w:rsid w:val="006546F2"/>
    <w:rsid w:val="00694ACE"/>
    <w:rsid w:val="006C2749"/>
    <w:rsid w:val="0071067B"/>
    <w:rsid w:val="00744BA4"/>
    <w:rsid w:val="00763396"/>
    <w:rsid w:val="0079439A"/>
    <w:rsid w:val="007A633A"/>
    <w:rsid w:val="007B71CC"/>
    <w:rsid w:val="007F292A"/>
    <w:rsid w:val="00854428"/>
    <w:rsid w:val="0088770F"/>
    <w:rsid w:val="008E3E4D"/>
    <w:rsid w:val="00973E59"/>
    <w:rsid w:val="009F50F2"/>
    <w:rsid w:val="00A23F4C"/>
    <w:rsid w:val="00A259A6"/>
    <w:rsid w:val="00A34544"/>
    <w:rsid w:val="00A42327"/>
    <w:rsid w:val="00A71424"/>
    <w:rsid w:val="00AB64C8"/>
    <w:rsid w:val="00AC5D75"/>
    <w:rsid w:val="00AD4B1F"/>
    <w:rsid w:val="00AD5060"/>
    <w:rsid w:val="00AD779A"/>
    <w:rsid w:val="00B231B9"/>
    <w:rsid w:val="00B8396A"/>
    <w:rsid w:val="00BB1DD1"/>
    <w:rsid w:val="00BF354B"/>
    <w:rsid w:val="00BF7182"/>
    <w:rsid w:val="00C24C7B"/>
    <w:rsid w:val="00C35182"/>
    <w:rsid w:val="00C356C2"/>
    <w:rsid w:val="00C36937"/>
    <w:rsid w:val="00C53085"/>
    <w:rsid w:val="00CA17C3"/>
    <w:rsid w:val="00D139A3"/>
    <w:rsid w:val="00D145F1"/>
    <w:rsid w:val="00D77062"/>
    <w:rsid w:val="00D86FF4"/>
    <w:rsid w:val="00DA0861"/>
    <w:rsid w:val="00DE4E2A"/>
    <w:rsid w:val="00E10953"/>
    <w:rsid w:val="00E70510"/>
    <w:rsid w:val="00E733BB"/>
    <w:rsid w:val="00E813A4"/>
    <w:rsid w:val="00E822B7"/>
    <w:rsid w:val="00EE451A"/>
    <w:rsid w:val="00F32682"/>
    <w:rsid w:val="00F62B35"/>
    <w:rsid w:val="00FB2FF6"/>
    <w:rsid w:val="00FE492C"/>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69122A"/>
  <w15:docId w15:val="{5B914C8C-12E0-4FB6-8C98-C486D603A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Calibri" w:cs="Calibri"/>
    </w:rPr>
  </w:style>
  <w:style w:type="paragraph" w:styleId="Titre1">
    <w:name w:val="heading 1"/>
    <w:basedOn w:val="Normal"/>
    <w:uiPriority w:val="9"/>
    <w:qFormat/>
    <w:pPr>
      <w:spacing w:before="1" w:line="292" w:lineRule="exact"/>
      <w:ind w:left="147"/>
      <w:jc w:val="both"/>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E52054"/>
    <w:rPr>
      <w:rFonts w:ascii="Calibri" w:eastAsia="Calibri" w:hAnsi="Calibri" w:cs="Calibri"/>
    </w:rPr>
  </w:style>
  <w:style w:type="character" w:customStyle="1" w:styleId="PieddepageCar">
    <w:name w:val="Pied de page Car"/>
    <w:basedOn w:val="Policepardfaut"/>
    <w:link w:val="Pieddepage"/>
    <w:uiPriority w:val="99"/>
    <w:qFormat/>
    <w:rsid w:val="00E52054"/>
    <w:rPr>
      <w:rFonts w:ascii="Calibri" w:eastAsia="Calibri" w:hAnsi="Calibri" w:cs="Calibri"/>
    </w:rPr>
  </w:style>
  <w:style w:type="character" w:customStyle="1" w:styleId="TextedebullesCar">
    <w:name w:val="Texte de bulles Car"/>
    <w:basedOn w:val="Policepardfaut"/>
    <w:link w:val="Textedebulles"/>
    <w:uiPriority w:val="99"/>
    <w:semiHidden/>
    <w:qFormat/>
    <w:rsid w:val="002B6F86"/>
    <w:rPr>
      <w:rFonts w:asciiTheme="majorHAnsi" w:eastAsiaTheme="majorEastAsia" w:hAnsiTheme="majorHAnsi" w:cstheme="majorBidi"/>
      <w:sz w:val="18"/>
      <w:szCs w:val="18"/>
    </w:rPr>
  </w:style>
  <w:style w:type="character" w:styleId="Marquedecommentaire">
    <w:name w:val="annotation reference"/>
    <w:basedOn w:val="Policepardfaut"/>
    <w:uiPriority w:val="99"/>
    <w:semiHidden/>
    <w:unhideWhenUsed/>
    <w:qFormat/>
    <w:rsid w:val="00A8649C"/>
    <w:rPr>
      <w:sz w:val="16"/>
      <w:szCs w:val="16"/>
    </w:rPr>
  </w:style>
  <w:style w:type="character" w:customStyle="1" w:styleId="CommentaireCar">
    <w:name w:val="Commentaire Car"/>
    <w:basedOn w:val="Policepardfaut"/>
    <w:link w:val="Commentaire"/>
    <w:uiPriority w:val="99"/>
    <w:semiHidden/>
    <w:qFormat/>
    <w:rsid w:val="00A8649C"/>
    <w:rPr>
      <w:rFonts w:ascii="Calibri" w:eastAsia="Calibri" w:hAnsi="Calibri" w:cs="Calibri"/>
      <w:sz w:val="20"/>
      <w:szCs w:val="20"/>
    </w:rPr>
  </w:style>
  <w:style w:type="character" w:customStyle="1" w:styleId="ObjetducommentaireCar">
    <w:name w:val="Objet du commentaire Car"/>
    <w:basedOn w:val="CommentaireCar"/>
    <w:link w:val="Objetducommentaire"/>
    <w:uiPriority w:val="99"/>
    <w:semiHidden/>
    <w:qFormat/>
    <w:rsid w:val="00A8649C"/>
    <w:rPr>
      <w:rFonts w:ascii="Calibri" w:eastAsia="Calibri" w:hAnsi="Calibri" w:cs="Calibri"/>
      <w:b/>
      <w:bCs/>
      <w:sz w:val="20"/>
      <w:szCs w:val="20"/>
    </w:rPr>
  </w:style>
  <w:style w:type="character" w:customStyle="1" w:styleId="TextebrutCar">
    <w:name w:val="Texte brut Car"/>
    <w:basedOn w:val="Policepardfaut"/>
    <w:link w:val="Textebrut"/>
    <w:uiPriority w:val="99"/>
    <w:semiHidden/>
    <w:qFormat/>
    <w:rsid w:val="00A8649C"/>
    <w:rPr>
      <w:rFonts w:ascii="Calibri" w:eastAsiaTheme="minorHAnsi" w:hAnsi="Calibri" w:cs="Calibri"/>
      <w:lang w:val="fr-FR"/>
    </w:rPr>
  </w:style>
  <w:style w:type="character" w:customStyle="1" w:styleId="ListLabel1">
    <w:name w:val="ListLabel 1"/>
    <w:qFormat/>
    <w:rPr>
      <w:rFonts w:eastAsia="Calibri" w:cs="Calibri"/>
      <w:w w:val="100"/>
      <w:sz w:val="22"/>
      <w:szCs w:val="22"/>
    </w:rPr>
  </w:style>
  <w:style w:type="paragraph" w:styleId="Titre">
    <w:name w:val="Title"/>
    <w:basedOn w:val="Normal"/>
    <w:next w:val="Corpsdetexte"/>
    <w:qFormat/>
    <w:pPr>
      <w:keepNext/>
      <w:spacing w:before="240" w:after="120"/>
    </w:pPr>
    <w:rPr>
      <w:rFonts w:ascii="Liberation Sans" w:eastAsia="Noto Sans CJK SC Regular" w:hAnsi="Liberation Sans" w:cs="FreeSans"/>
      <w:sz w:val="28"/>
      <w:szCs w:val="28"/>
    </w:rPr>
  </w:style>
  <w:style w:type="paragraph" w:styleId="Corpsdetexte">
    <w:name w:val="Body Text"/>
    <w:basedOn w:val="Normal"/>
    <w:uiPriority w:val="1"/>
    <w:qFormat/>
  </w:style>
  <w:style w:type="paragraph" w:styleId="Liste">
    <w:name w:val="List"/>
    <w:basedOn w:val="Corpsdetexte"/>
    <w:rPr>
      <w:rFonts w:cs="FreeSans"/>
    </w:rPr>
  </w:style>
  <w:style w:type="paragraph" w:styleId="Lgende">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Paragraphedeliste">
    <w:name w:val="List Paragraph"/>
    <w:basedOn w:val="Normal"/>
    <w:uiPriority w:val="1"/>
    <w:qFormat/>
    <w:pPr>
      <w:ind w:left="147"/>
      <w:jc w:val="both"/>
    </w:pPr>
  </w:style>
  <w:style w:type="paragraph" w:customStyle="1" w:styleId="TableParagraph">
    <w:name w:val="Table Paragraph"/>
    <w:basedOn w:val="Normal"/>
    <w:uiPriority w:val="1"/>
    <w:qFormat/>
  </w:style>
  <w:style w:type="paragraph" w:styleId="En-tte">
    <w:name w:val="header"/>
    <w:basedOn w:val="Normal"/>
    <w:uiPriority w:val="99"/>
    <w:unhideWhenUsed/>
    <w:rsid w:val="00E52054"/>
    <w:pPr>
      <w:tabs>
        <w:tab w:val="center" w:pos="4252"/>
        <w:tab w:val="right" w:pos="8504"/>
      </w:tabs>
      <w:snapToGrid w:val="0"/>
    </w:pPr>
  </w:style>
  <w:style w:type="paragraph" w:styleId="Pieddepage">
    <w:name w:val="footer"/>
    <w:basedOn w:val="Normal"/>
    <w:link w:val="PieddepageCar"/>
    <w:uiPriority w:val="99"/>
    <w:unhideWhenUsed/>
    <w:rsid w:val="00E52054"/>
    <w:pPr>
      <w:tabs>
        <w:tab w:val="center" w:pos="4252"/>
        <w:tab w:val="right" w:pos="8504"/>
      </w:tabs>
      <w:snapToGrid w:val="0"/>
    </w:pPr>
  </w:style>
  <w:style w:type="paragraph" w:styleId="Textedebulles">
    <w:name w:val="Balloon Text"/>
    <w:basedOn w:val="Normal"/>
    <w:link w:val="TextedebullesCar"/>
    <w:uiPriority w:val="99"/>
    <w:semiHidden/>
    <w:unhideWhenUsed/>
    <w:qFormat/>
    <w:rsid w:val="002B6F86"/>
    <w:rPr>
      <w:rFonts w:asciiTheme="majorHAnsi" w:eastAsiaTheme="majorEastAsia" w:hAnsiTheme="majorHAnsi" w:cstheme="majorBidi"/>
      <w:sz w:val="18"/>
      <w:szCs w:val="18"/>
    </w:rPr>
  </w:style>
  <w:style w:type="paragraph" w:styleId="Commentaire">
    <w:name w:val="annotation text"/>
    <w:basedOn w:val="Normal"/>
    <w:link w:val="CommentaireCar"/>
    <w:uiPriority w:val="99"/>
    <w:semiHidden/>
    <w:unhideWhenUsed/>
    <w:qFormat/>
    <w:rsid w:val="00A8649C"/>
    <w:rPr>
      <w:sz w:val="20"/>
      <w:szCs w:val="20"/>
    </w:rPr>
  </w:style>
  <w:style w:type="paragraph" w:styleId="Objetducommentaire">
    <w:name w:val="annotation subject"/>
    <w:basedOn w:val="Commentaire"/>
    <w:link w:val="ObjetducommentaireCar"/>
    <w:uiPriority w:val="99"/>
    <w:semiHidden/>
    <w:unhideWhenUsed/>
    <w:qFormat/>
    <w:rsid w:val="00A8649C"/>
    <w:rPr>
      <w:b/>
      <w:bCs/>
    </w:rPr>
  </w:style>
  <w:style w:type="paragraph" w:styleId="Textebrut">
    <w:name w:val="Plain Text"/>
    <w:basedOn w:val="Normal"/>
    <w:link w:val="TextebrutCar"/>
    <w:uiPriority w:val="99"/>
    <w:semiHidden/>
    <w:unhideWhenUsed/>
    <w:qFormat/>
    <w:rsid w:val="00A8649C"/>
    <w:rPr>
      <w:rFonts w:eastAsiaTheme="minorHAnsi"/>
      <w:lang w:val="fr-F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Rvision">
    <w:name w:val="Revision"/>
    <w:hidden/>
    <w:uiPriority w:val="99"/>
    <w:semiHidden/>
    <w:rsid w:val="001C2B6F"/>
    <w:rPr>
      <w:rFonts w:eastAsia="Calibri" w:cs="Calibri"/>
    </w:rPr>
  </w:style>
  <w:style w:type="paragraph" w:styleId="NormalWeb">
    <w:name w:val="Normal (Web)"/>
    <w:basedOn w:val="Normal"/>
    <w:uiPriority w:val="99"/>
    <w:semiHidden/>
    <w:unhideWhenUsed/>
    <w:rsid w:val="00DA0861"/>
    <w:pPr>
      <w:spacing w:before="100" w:beforeAutospacing="1" w:after="100" w:afterAutospacing="1"/>
    </w:pPr>
    <w:rPr>
      <w:rFonts w:ascii="Times New Roman" w:eastAsia="Times New Roman" w:hAnsi="Times New Roman" w:cs="Times New Roman"/>
      <w:sz w:val="24"/>
      <w:szCs w:val="24"/>
      <w:lang w:val="fr-FR" w:eastAsia="fr-FR"/>
    </w:rPr>
  </w:style>
  <w:style w:type="character" w:styleId="lev">
    <w:name w:val="Strong"/>
    <w:basedOn w:val="Policepardfaut"/>
    <w:uiPriority w:val="22"/>
    <w:qFormat/>
    <w:rsid w:val="00E109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591512">
      <w:bodyDiv w:val="1"/>
      <w:marLeft w:val="0"/>
      <w:marRight w:val="0"/>
      <w:marTop w:val="0"/>
      <w:marBottom w:val="0"/>
      <w:divBdr>
        <w:top w:val="none" w:sz="0" w:space="0" w:color="auto"/>
        <w:left w:val="none" w:sz="0" w:space="0" w:color="auto"/>
        <w:bottom w:val="none" w:sz="0" w:space="0" w:color="auto"/>
        <w:right w:val="none" w:sz="0" w:space="0" w:color="auto"/>
      </w:divBdr>
    </w:div>
    <w:div w:id="19564023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7B32A11FAAE094D9CC7EA471F6C0B73" ma:contentTypeVersion="15" ma:contentTypeDescription="新しいドキュメントを作成します。" ma:contentTypeScope="" ma:versionID="e904f7596648a274a6e33d149d8248e4">
  <xsd:schema xmlns:xsd="http://www.w3.org/2001/XMLSchema" xmlns:xs="http://www.w3.org/2001/XMLSchema" xmlns:p="http://schemas.microsoft.com/office/2006/metadata/properties" xmlns:ns2="b856cd7d-90d2-4a51-a91a-ca09ef544645" xmlns:ns3="1206fbf2-b973-461c-b257-34b9f42aec81" targetNamespace="http://schemas.microsoft.com/office/2006/metadata/properties" ma:root="true" ma:fieldsID="55bc03910f75f33f969bed278e920ccb" ns2:_="" ns3:_="">
    <xsd:import namespace="b856cd7d-90d2-4a51-a91a-ca09ef544645"/>
    <xsd:import namespace="1206fbf2-b973-461c-b257-34b9f42aec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6cd7d-90d2-4a51-a91a-ca09ef5446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be3e9e43-6b99-440d-90dc-b7946a8fd6d1"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06fbf2-b973-461c-b257-34b9f42aec81"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5e19bf1c-1250-47e5-b8e0-7922ba6c241c}" ma:internalName="TaxCatchAll" ma:showField="CatchAllData" ma:web="1206fbf2-b973-461c-b257-34b9f42aec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206fbf2-b973-461c-b257-34b9f42aec81" xsi:nil="true"/>
    <lcf76f155ced4ddcb4097134ff3c332f xmlns="b856cd7d-90d2-4a51-a91a-ca09ef54464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D8117-C1FA-4F09-8FB5-0AA13BA44F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6cd7d-90d2-4a51-a91a-ca09ef544645"/>
    <ds:schemaRef ds:uri="1206fbf2-b973-461c-b257-34b9f42aec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9061B9-4295-4B06-94B5-CDFD6987EE6E}">
  <ds:schemaRefs>
    <ds:schemaRef ds:uri="http://schemas.microsoft.com/sharepoint/v3/contenttype/forms"/>
  </ds:schemaRefs>
</ds:datastoreItem>
</file>

<file path=customXml/itemProps3.xml><?xml version="1.0" encoding="utf-8"?>
<ds:datastoreItem xmlns:ds="http://schemas.openxmlformats.org/officeDocument/2006/customXml" ds:itemID="{114AA23B-9B0E-4A2C-AD36-8A5E36249270}">
  <ds:schemaRefs>
    <ds:schemaRef ds:uri="http://schemas.microsoft.com/office/2006/metadata/properties"/>
    <ds:schemaRef ds:uri="http://schemas.microsoft.com/office/infopath/2007/PartnerControls"/>
    <ds:schemaRef ds:uri="1206fbf2-b973-461c-b257-34b9f42aec81"/>
    <ds:schemaRef ds:uri="b856cd7d-90d2-4a51-a91a-ca09ef544645"/>
  </ds:schemaRefs>
</ds:datastoreItem>
</file>

<file path=customXml/itemProps4.xml><?xml version="1.0" encoding="utf-8"?>
<ds:datastoreItem xmlns:ds="http://schemas.openxmlformats.org/officeDocument/2006/customXml" ds:itemID="{15BDE2DC-60CA-4CF6-A6D0-2698231A1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666</Words>
  <Characters>3666</Characters>
  <Application>Microsoft Office Word</Application>
  <DocSecurity>0</DocSecurity>
  <Lines>30</Lines>
  <Paragraphs>8</Paragraphs>
  <ScaleCrop>false</ScaleCrop>
  <HeadingPairs>
    <vt:vector size="4" baseType="variant">
      <vt:variant>
        <vt:lpstr>Titre</vt:lpstr>
      </vt:variant>
      <vt:variant>
        <vt:i4>1</vt:i4>
      </vt:variant>
      <vt:variant>
        <vt:lpstr>タイトル</vt:lpstr>
      </vt:variant>
      <vt:variant>
        <vt:i4>1</vt:i4>
      </vt:variant>
    </vt:vector>
  </HeadingPairs>
  <TitlesOfParts>
    <vt:vector size="2" baseType="lpstr">
      <vt:lpstr/>
      <vt:lpstr/>
    </vt:vector>
  </TitlesOfParts>
  <Company>Hewlett-Packard Company</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cdurr</dc:creator>
  <dc:description/>
  <cp:lastModifiedBy>Florent Chazarenc</cp:lastModifiedBy>
  <cp:revision>6</cp:revision>
  <dcterms:created xsi:type="dcterms:W3CDTF">2025-01-23T07:13:00Z</dcterms:created>
  <dcterms:modified xsi:type="dcterms:W3CDTF">2025-03-03T15:49:00Z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2018-11-19T00:00:00Z</vt:filetime>
  </property>
  <property fmtid="{D5CDD505-2E9C-101B-9397-08002B2CF9AE}" pid="4" name="Creator">
    <vt:lpwstr>Microsoft® Word 2016</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2019-02-22T00:00:00Z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y fmtid="{D5CDD505-2E9C-101B-9397-08002B2CF9AE}" pid="11" name="ContentTypeId">
    <vt:lpwstr>0x010100485C2F4EDDAFF74F80DA9F2890ED99BF</vt:lpwstr>
  </property>
</Properties>
</file>